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3087" w14:textId="77777777" w:rsidR="005B122D" w:rsidRDefault="005B122D" w:rsidP="005B122D">
      <w:pPr>
        <w:pStyle w:val="NormalWeb"/>
        <w:shd w:val="clear" w:color="auto" w:fill="FFFFFF"/>
        <w:spacing w:before="0" w:beforeAutospacing="0" w:after="0" w:afterAutospacing="0"/>
        <w:jc w:val="center"/>
        <w:rPr>
          <w:rFonts w:ascii="Calibri" w:hAnsi="Calibri" w:cs="Calibri"/>
          <w:color w:val="000000"/>
          <w:sz w:val="22"/>
          <w:szCs w:val="22"/>
        </w:rPr>
      </w:pPr>
      <w:r>
        <w:rPr>
          <w:rFonts w:ascii="Palatino Linotype" w:hAnsi="Palatino Linotype" w:cs="Calibri"/>
          <w:b/>
          <w:bCs/>
          <w:color w:val="FFFFFF"/>
          <w:sz w:val="36"/>
          <w:szCs w:val="36"/>
          <w:shd w:val="clear" w:color="auto" w:fill="000000"/>
        </w:rPr>
        <w:t>NOTIFICAÇÃO AO DEPARTAMENTO DE EDUCAÇÃO E À ESCOLA ................</w:t>
      </w:r>
    </w:p>
    <w:p w14:paraId="09FE7E84"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color w:val="000000"/>
        </w:rPr>
        <w:t>A(à)</w:t>
      </w:r>
      <w:r>
        <w:rPr>
          <w:rFonts w:ascii="Palatino Linotype" w:hAnsi="Palatino Linotype" w:cs="Calibri"/>
          <w:color w:val="000000"/>
        </w:rPr>
        <w:br/>
        <w:t>Diretor(a) Municipal/Estadual de Educação de _____________________________</w:t>
      </w:r>
      <w:r>
        <w:rPr>
          <w:rFonts w:ascii="Palatino Linotype" w:hAnsi="Palatino Linotype" w:cs="Calibri"/>
          <w:color w:val="000000"/>
        </w:rPr>
        <w:br/>
        <w:t>Diretor(a) da Escola __________________ __________________________________</w:t>
      </w:r>
    </w:p>
    <w:p w14:paraId="03484EC5"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p>
    <w:p w14:paraId="0802939E"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color w:val="000000"/>
        </w:rPr>
        <w:t>Eu,</w:t>
      </w:r>
      <w:r>
        <w:rPr>
          <w:rStyle w:val="apple-converted-space"/>
          <w:rFonts w:ascii="Palatino Linotype" w:hAnsi="Palatino Linotype" w:cs="Calibri"/>
          <w:color w:val="000000"/>
        </w:rPr>
        <w:t> </w:t>
      </w:r>
      <w:proofErr w:type="spellStart"/>
      <w:r>
        <w:rPr>
          <w:rFonts w:ascii="Palatino Linotype" w:hAnsi="Palatino Linotype" w:cs="Calibri"/>
          <w:color w:val="000000"/>
          <w:u w:val="single"/>
        </w:rPr>
        <w:t>xxxxxxxxxxxxxxxxxxxxxxxx</w:t>
      </w:r>
      <w:proofErr w:type="spellEnd"/>
      <w:r>
        <w:rPr>
          <w:rFonts w:ascii="Palatino Linotype" w:hAnsi="Palatino Linotype" w:cs="Calibri"/>
          <w:color w:val="000000"/>
        </w:rPr>
        <w:t>, CPF: 000000000000000, abaixo assinada, RESPONSÁVEL pelo(a) aluno(a)</w:t>
      </w:r>
      <w:r>
        <w:rPr>
          <w:rStyle w:val="apple-converted-space"/>
          <w:rFonts w:ascii="Palatino Linotype" w:hAnsi="Palatino Linotype" w:cs="Calibri"/>
          <w:color w:val="000000"/>
        </w:rPr>
        <w:t> </w:t>
      </w:r>
      <w:proofErr w:type="spellStart"/>
      <w:r>
        <w:rPr>
          <w:rFonts w:ascii="Palatino Linotype" w:hAnsi="Palatino Linotype" w:cs="Calibri"/>
          <w:b/>
          <w:bCs/>
          <w:color w:val="000000"/>
        </w:rPr>
        <w:t>xxxxxxxxxxxxxxxxxxxxxxxxxxxxxxx</w:t>
      </w:r>
      <w:proofErr w:type="spellEnd"/>
      <w:r>
        <w:rPr>
          <w:rFonts w:ascii="Palatino Linotype" w:hAnsi="Palatino Linotype" w:cs="Calibri"/>
          <w:color w:val="000000"/>
        </w:rPr>
        <w:t>, matriculada na referida escola,</w:t>
      </w:r>
    </w:p>
    <w:p w14:paraId="65E5C2C8"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p>
    <w:p w14:paraId="3A6E4DD6"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a dignidade da pessoa humana, disposta no inciso III, Art. 1º, da Constituição Federal, Convenção Americana de Direitos Humanos e demais tratados internacionais;</w:t>
      </w:r>
      <w:r>
        <w:rPr>
          <w:rStyle w:val="apple-converted-space"/>
          <w:rFonts w:ascii="Palatino Linotype" w:hAnsi="Palatino Linotype" w:cs="Calibri"/>
          <w:color w:val="000000"/>
        </w:rPr>
        <w:t> </w:t>
      </w:r>
    </w:p>
    <w:p w14:paraId="34ACD778"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o Direito Fundamental à liberdade individual expresso no Art. 5º da Constituição Federal de 1988, que garante o direito à vida, à liberdade, à igualdade, à segurança e à propriedade;</w:t>
      </w:r>
      <w:r>
        <w:rPr>
          <w:rStyle w:val="apple-converted-space"/>
          <w:rFonts w:ascii="Palatino Linotype" w:hAnsi="Palatino Linotype" w:cs="Calibri"/>
          <w:color w:val="000000"/>
        </w:rPr>
        <w:t> </w:t>
      </w:r>
    </w:p>
    <w:p w14:paraId="65D2F06E"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xml:space="preserve"> o teor do artigo 15 da Lei nº 10.406 de 10 de </w:t>
      </w:r>
      <w:proofErr w:type="gramStart"/>
      <w:r>
        <w:rPr>
          <w:rFonts w:ascii="Palatino Linotype" w:hAnsi="Palatino Linotype" w:cs="Calibri"/>
          <w:color w:val="000000"/>
        </w:rPr>
        <w:t>Janeiro</w:t>
      </w:r>
      <w:proofErr w:type="gramEnd"/>
      <w:r>
        <w:rPr>
          <w:rFonts w:ascii="Palatino Linotype" w:hAnsi="Palatino Linotype" w:cs="Calibri"/>
          <w:color w:val="000000"/>
        </w:rPr>
        <w:t xml:space="preserve"> de 2002, que instituiu o Novo Código Civil, onde “</w:t>
      </w:r>
      <w:r>
        <w:rPr>
          <w:rFonts w:ascii="Palatino Linotype" w:hAnsi="Palatino Linotype" w:cs="Calibri"/>
          <w:i/>
          <w:iCs/>
          <w:color w:val="000000"/>
        </w:rPr>
        <w:t>Ninguém pode ser constrangido a submeter-se, com risco de vida, a tratamento médico ou a intervenção cirúrgica</w:t>
      </w:r>
      <w:r>
        <w:rPr>
          <w:rFonts w:ascii="Palatino Linotype" w:hAnsi="Palatino Linotype" w:cs="Calibri"/>
          <w:color w:val="000000"/>
        </w:rPr>
        <w:t>;”</w:t>
      </w:r>
      <w:r>
        <w:rPr>
          <w:rStyle w:val="apple-converted-space"/>
          <w:rFonts w:ascii="Palatino Linotype" w:hAnsi="Palatino Linotype" w:cs="Calibri"/>
          <w:color w:val="000000"/>
        </w:rPr>
        <w:t> </w:t>
      </w:r>
    </w:p>
    <w:p w14:paraId="685EA3FE"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que não há NENHUMA LEI FEDERAL que imponha a obrigatoriedade dessa vacinação contra a Covid-19, e o produto não consta do Programa Nacional de Imunização – PNI, nos termos do art. 3º da Lei n. 6.259/1975, exceto aquelas tradicionais e já contempladas (Art. 14, § 1º, ECA);</w:t>
      </w:r>
    </w:p>
    <w:p w14:paraId="11C64708"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que os Agentes Públicos, e aqueles investidos em iguais poderes, devem respeitar os princípios da administração pública, LEGALIDADE, IMPESSOALIDADE, MORALIDADE, PUBLICIDADE e EFICIÊNCIA, dispostos no Art. 37, caput, da Constituição Federal;</w:t>
      </w:r>
    </w:p>
    <w:p w14:paraId="7E9FA5C4"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a responsabilidade OBJETIVA do Estado, e SUBJETIVA de seus Agentes Públicos, que respondem pelos danos causados a terceiros, conforme § 6º do Art. 37, da Constituição Federal;</w:t>
      </w:r>
    </w:p>
    <w:p w14:paraId="4DA74252"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xml:space="preserve"> que o Supremo Tribunal Federal – STF, no julgamento das </w:t>
      </w:r>
      <w:proofErr w:type="spellStart"/>
      <w:r>
        <w:rPr>
          <w:rFonts w:ascii="Palatino Linotype" w:hAnsi="Palatino Linotype" w:cs="Calibri"/>
          <w:color w:val="000000"/>
        </w:rPr>
        <w:t>ADI´s</w:t>
      </w:r>
      <w:proofErr w:type="spellEnd"/>
      <w:r>
        <w:rPr>
          <w:rFonts w:ascii="Palatino Linotype" w:hAnsi="Palatino Linotype" w:cs="Calibri"/>
          <w:color w:val="000000"/>
        </w:rPr>
        <w:t xml:space="preserve"> 6586 e 6587, definiu que a matéria de vacinação compulsória requer, necessariamente, a aprovação de lei, e que o ato seja dela decorrente, o que não ocorreu até o presente momento;</w:t>
      </w:r>
    </w:p>
    <w:p w14:paraId="24A80FD8"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o art. 227 da Carta Magna, por sua vez impõe que</w:t>
      </w:r>
      <w:r>
        <w:rPr>
          <w:rStyle w:val="apple-converted-space"/>
          <w:rFonts w:ascii="Palatino Linotype" w:hAnsi="Palatino Linotype" w:cs="Calibri"/>
          <w:color w:val="000000"/>
        </w:rPr>
        <w:t> </w:t>
      </w:r>
      <w:r>
        <w:rPr>
          <w:rFonts w:ascii="Palatino Linotype" w:hAnsi="Palatino Linotype" w:cs="Calibri"/>
          <w:i/>
          <w:iCs/>
          <w:color w:val="000000"/>
        </w:rPr>
        <w:t>“É dever da família, da sociedade e do Estado assegurar à criança, com prioridade absoluta, o direito à vida, à saúde (...), à educação (...), além de colocá-los a salvo de toda forma de negligência,</w:t>
      </w:r>
      <w:r>
        <w:rPr>
          <w:rStyle w:val="apple-converted-space"/>
          <w:rFonts w:ascii="Palatino Linotype" w:hAnsi="Palatino Linotype" w:cs="Calibri"/>
          <w:i/>
          <w:iCs/>
          <w:color w:val="000000"/>
        </w:rPr>
        <w:t> </w:t>
      </w:r>
      <w:r>
        <w:rPr>
          <w:rFonts w:ascii="Palatino Linotype" w:hAnsi="Palatino Linotype" w:cs="Calibri"/>
          <w:b/>
          <w:bCs/>
          <w:i/>
          <w:iCs/>
          <w:color w:val="000000"/>
        </w:rPr>
        <w:t>discriminação</w:t>
      </w:r>
      <w:r>
        <w:rPr>
          <w:rFonts w:ascii="Palatino Linotype" w:hAnsi="Palatino Linotype" w:cs="Calibri"/>
          <w:i/>
          <w:iCs/>
          <w:color w:val="000000"/>
        </w:rPr>
        <w:t>, exploração,</w:t>
      </w:r>
      <w:r>
        <w:rPr>
          <w:rStyle w:val="apple-converted-space"/>
          <w:rFonts w:ascii="Palatino Linotype" w:hAnsi="Palatino Linotype" w:cs="Calibri"/>
          <w:i/>
          <w:iCs/>
          <w:color w:val="000000"/>
        </w:rPr>
        <w:t> </w:t>
      </w:r>
      <w:r>
        <w:rPr>
          <w:rFonts w:ascii="Palatino Linotype" w:hAnsi="Palatino Linotype" w:cs="Calibri"/>
          <w:b/>
          <w:bCs/>
          <w:i/>
          <w:iCs/>
          <w:color w:val="000000"/>
        </w:rPr>
        <w:t>violência</w:t>
      </w:r>
      <w:r>
        <w:rPr>
          <w:rFonts w:ascii="Palatino Linotype" w:hAnsi="Palatino Linotype" w:cs="Calibri"/>
          <w:i/>
          <w:iCs/>
          <w:color w:val="000000"/>
        </w:rPr>
        <w:t>, crueldade e</w:t>
      </w:r>
      <w:r>
        <w:rPr>
          <w:rStyle w:val="apple-converted-space"/>
          <w:rFonts w:ascii="Palatino Linotype" w:hAnsi="Palatino Linotype" w:cs="Calibri"/>
          <w:i/>
          <w:iCs/>
          <w:color w:val="000000"/>
        </w:rPr>
        <w:t> </w:t>
      </w:r>
      <w:r>
        <w:rPr>
          <w:rFonts w:ascii="Palatino Linotype" w:hAnsi="Palatino Linotype" w:cs="Calibri"/>
          <w:b/>
          <w:bCs/>
          <w:i/>
          <w:iCs/>
          <w:color w:val="000000"/>
        </w:rPr>
        <w:t>opressão</w:t>
      </w:r>
      <w:r>
        <w:rPr>
          <w:rFonts w:ascii="Palatino Linotype" w:hAnsi="Palatino Linotype" w:cs="Calibri"/>
          <w:i/>
          <w:iCs/>
          <w:color w:val="000000"/>
        </w:rPr>
        <w:t>”;</w:t>
      </w:r>
      <w:r>
        <w:rPr>
          <w:rFonts w:ascii="Palatino Linotype" w:hAnsi="Palatino Linotype" w:cs="Calibri"/>
          <w:color w:val="000000"/>
        </w:rPr>
        <w:t> </w:t>
      </w:r>
    </w:p>
    <w:p w14:paraId="5E7492F4"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artigo 932 do Código Civil (Lei nº 10.406/2002) que confere poder e autoridade sobre o menor sob tutela dos pais ou responsáveis;</w:t>
      </w:r>
    </w:p>
    <w:p w14:paraId="39369167"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lastRenderedPageBreak/>
        <w:t>CONSIDERANDO</w:t>
      </w:r>
      <w:r>
        <w:rPr>
          <w:rFonts w:ascii="Palatino Linotype" w:hAnsi="Palatino Linotype" w:cs="Calibri"/>
          <w:color w:val="000000"/>
        </w:rPr>
        <w:t> os artigos 146, 147 e 147-A, do Código Penal – que dispõem sobre os crimes de constrangimento ilegal, ameaça e perseguição, respectivamente – estabelecem as seguintes condutas:</w:t>
      </w:r>
    </w:p>
    <w:p w14:paraId="7D74F26F"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i/>
          <w:iCs/>
          <w:color w:val="000000"/>
          <w:sz w:val="20"/>
          <w:szCs w:val="20"/>
        </w:rPr>
        <w:t>Art. 146. Constranger alguém, mediante violência ou grave ameaça, ou depois de lhe haver reduzido, por qualquer outro meio, a capacidade de resistência, a não fazer o que a lei permite, ou a fazer o que ela não manda.</w:t>
      </w:r>
      <w:r>
        <w:rPr>
          <w:rStyle w:val="apple-converted-space"/>
          <w:rFonts w:ascii="Palatino Linotype" w:hAnsi="Palatino Linotype" w:cs="Calibri"/>
          <w:i/>
          <w:iCs/>
          <w:color w:val="000000"/>
          <w:sz w:val="20"/>
          <w:szCs w:val="20"/>
        </w:rPr>
        <w:t> </w:t>
      </w:r>
    </w:p>
    <w:p w14:paraId="0A857A3F"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i/>
          <w:iCs/>
          <w:color w:val="000000"/>
          <w:sz w:val="20"/>
          <w:szCs w:val="20"/>
        </w:rPr>
        <w:t> Art. 147 - Ameaçar alguém, por palavra, escrito ou gesto, ou qualquer outro meio simbólico, de causar-lhe mal injusto e grave.</w:t>
      </w:r>
      <w:r>
        <w:rPr>
          <w:rStyle w:val="apple-converted-space"/>
          <w:rFonts w:ascii="Palatino Linotype" w:hAnsi="Palatino Linotype" w:cs="Calibri"/>
          <w:i/>
          <w:iCs/>
          <w:color w:val="000000"/>
          <w:sz w:val="20"/>
          <w:szCs w:val="20"/>
        </w:rPr>
        <w:t> </w:t>
      </w:r>
    </w:p>
    <w:p w14:paraId="3DAF8859"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i/>
          <w:iCs/>
          <w:color w:val="000000"/>
          <w:sz w:val="20"/>
          <w:szCs w:val="20"/>
        </w:rPr>
        <w:t>Art. 147-A. Perseguir alguém, reiteradamente e por qualquer meio, ameaçando-lhe a integridade física ou psicológica, restringindo-lhe a capacidade de locomoção ou, de qualquer forma, invadindo ou perturbando sua esfera de liberdade ou privacidade.  </w:t>
      </w:r>
    </w:p>
    <w:p w14:paraId="120E806C"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os artigos 30 e 33, da Lei de Abuso de Autoridade, 13.869/19, que define os crimes cometidos por Agentes Públicos, e aqueles investidos em tais poderes, estabelecem as seguintes condutas:</w:t>
      </w:r>
    </w:p>
    <w:p w14:paraId="51616AA7"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i/>
          <w:iCs/>
          <w:color w:val="000000"/>
          <w:sz w:val="20"/>
          <w:szCs w:val="20"/>
        </w:rPr>
        <w:t>Art. 30.  Dar início ou proceder à persecução penal, civil ou administrativa sem justa causa fundamentada ou contra quem sabe inocente</w:t>
      </w:r>
    </w:p>
    <w:p w14:paraId="21456415"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i/>
          <w:iCs/>
          <w:color w:val="000000"/>
          <w:sz w:val="20"/>
          <w:szCs w:val="20"/>
        </w:rPr>
        <w:t>Art. 33.  Exigir informação ou cumprimento de obrigação, inclusive o dever de fazer ou de não fazer, sem expresso amparo legal:</w:t>
      </w:r>
    </w:p>
    <w:p w14:paraId="7E1D442E"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Style w:val="apple-converted-space"/>
          <w:rFonts w:ascii="Palatino Linotype" w:hAnsi="Palatino Linotype" w:cs="Calibri"/>
          <w:b/>
          <w:bCs/>
          <w:color w:val="000000"/>
        </w:rPr>
        <w:t> </w:t>
      </w:r>
      <w:r>
        <w:rPr>
          <w:rFonts w:ascii="Palatino Linotype" w:hAnsi="Palatino Linotype" w:cs="Calibri"/>
          <w:color w:val="000000"/>
        </w:rPr>
        <w:t>que o Ministério da Saúde, recentemente, afirmou a não obrigatoriedade da inoculação das vacinas contra a Covid-19 no público infanto-juvenil, e vinculou a vacinação de crianças de 5 a 11 anos de idade à autorização dos pais ou responsáveis:</w:t>
      </w:r>
      <w:r>
        <w:rPr>
          <w:rStyle w:val="apple-converted-space"/>
          <w:rFonts w:ascii="Palatino Linotype" w:hAnsi="Palatino Linotype" w:cs="Calibri"/>
          <w:color w:val="000000"/>
        </w:rPr>
        <w:t> </w:t>
      </w:r>
    </w:p>
    <w:p w14:paraId="43CD8EA6"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color w:val="000000"/>
          <w:sz w:val="20"/>
          <w:szCs w:val="20"/>
        </w:rPr>
        <w:t> </w:t>
      </w:r>
      <w:r>
        <w:rPr>
          <w:rFonts w:ascii="Palatino Linotype" w:hAnsi="Palatino Linotype" w:cs="Calibri"/>
          <w:i/>
          <w:iCs/>
          <w:color w:val="000000"/>
          <w:sz w:val="20"/>
          <w:szCs w:val="20"/>
        </w:rPr>
        <w:t>De acordo com a recomendação do Ministério da Saúde, a vacinação de crianças de 5 a 11 anos não é obrigatória e deve seguir ordem de prioridades, começando pelas crianças com comorbidades e com deficiências permanentes. Para a imunização desse público será necessária a autorização dos pais. No caso da presença dos responsáveis no ato da vacinação, haverá dispensa do termo por escrito. A orientação da Pasta é para que os pais procurem a recomendação prévia de um médico antes da imunização. Grifei.</w:t>
      </w:r>
      <w:r>
        <w:rPr>
          <w:rStyle w:val="apple-converted-space"/>
          <w:rFonts w:ascii="Palatino Linotype" w:hAnsi="Palatino Linotype" w:cs="Calibri"/>
          <w:i/>
          <w:iCs/>
          <w:color w:val="000000"/>
          <w:sz w:val="20"/>
          <w:szCs w:val="20"/>
        </w:rPr>
        <w:t> </w:t>
      </w:r>
      <w:hyperlink r:id="rId4" w:history="1">
        <w:r>
          <w:rPr>
            <w:rStyle w:val="Hyperlink"/>
            <w:rFonts w:ascii="Palatino Linotype" w:hAnsi="Palatino Linotype" w:cs="Calibri"/>
            <w:i/>
            <w:iCs/>
            <w:sz w:val="20"/>
            <w:szCs w:val="20"/>
          </w:rPr>
          <w:t>https://www.gov.br/saude/pt-br/assuntos/noticias/2022/janeiro/ministerio-da-saude-inicia-distribuicao-de-vacinas-covid-19-pediatricas-nesta-quinta-13</w:t>
        </w:r>
      </w:hyperlink>
      <w:r>
        <w:rPr>
          <w:rFonts w:ascii="Palatino Linotype" w:hAnsi="Palatino Linotype" w:cs="Calibri"/>
          <w:i/>
          <w:iCs/>
          <w:color w:val="000000"/>
        </w:rPr>
        <w:t> ;</w:t>
      </w:r>
      <w:r>
        <w:rPr>
          <w:rStyle w:val="apple-converted-space"/>
          <w:rFonts w:ascii="Palatino Linotype" w:hAnsi="Palatino Linotype" w:cs="Calibri"/>
          <w:i/>
          <w:iCs/>
          <w:color w:val="000000"/>
        </w:rPr>
        <w:t> </w:t>
      </w:r>
      <w:r>
        <w:rPr>
          <w:rFonts w:ascii="Palatino Linotype" w:hAnsi="Palatino Linotype" w:cs="Calibri"/>
          <w:b/>
          <w:bCs/>
          <w:i/>
          <w:iCs/>
          <w:color w:val="000000"/>
        </w:rPr>
        <w:t> </w:t>
      </w:r>
      <w:r>
        <w:rPr>
          <w:rStyle w:val="apple-converted-space"/>
          <w:rFonts w:ascii="Palatino Linotype" w:hAnsi="Palatino Linotype" w:cs="Calibri"/>
          <w:b/>
          <w:bCs/>
          <w:i/>
          <w:iCs/>
          <w:color w:val="000000"/>
        </w:rPr>
        <w:t> </w:t>
      </w:r>
    </w:p>
    <w:p w14:paraId="3FE64C8C"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a concessão de registro definitivo, pela ANVISA, para o uso do produto da Pfizer, na faixa etária de 5 a 11 anos, não impede risco de morte, lesão grave e outros prejuízos à saúde ainda desconhecidos. Afinal, os estudos (</w:t>
      </w:r>
      <w:hyperlink r:id="rId5" w:history="1">
        <w:r>
          <w:rPr>
            <w:rStyle w:val="Hyperlink"/>
            <w:rFonts w:ascii="Palatino Linotype" w:hAnsi="Palatino Linotype" w:cs="Calibri"/>
          </w:rPr>
          <w:t>https://clinicaltrials.gov/ct2/show/NCT04816643</w:t>
        </w:r>
      </w:hyperlink>
      <w:r>
        <w:rPr>
          <w:rFonts w:ascii="Palatino Linotype" w:hAnsi="Palatino Linotype" w:cs="Calibri"/>
          <w:color w:val="000000"/>
        </w:rPr>
        <w:t xml:space="preserve">.) para esse público infantil foram iniciados em março de 2021, com previsão de término somente para 2026; e a própria fabricante assume, no subitem 5.5 do Contrato com a União, que desconhece os efeitos adversos e colaterais de longo prazo, além de não se responsabilizar por nenhum deles, em nenhuma hipótese (robusta documentação pode ser encontrada junto ao PEDIDO DE INFORMAÇÕES cadastrado no sistema SEI sob nº 25351.935047/2021-70). No relatório de aprovação da fórmula infantil da substância (PARECER PÚBLICO DE AVALIAÇÃO DO MEDICAMENTO – APROVAÇÃO), a Anvisa destacou </w:t>
      </w:r>
      <w:r>
        <w:rPr>
          <w:rFonts w:ascii="Palatino Linotype" w:hAnsi="Palatino Linotype" w:cs="Calibri"/>
          <w:color w:val="000000"/>
        </w:rPr>
        <w:lastRenderedPageBreak/>
        <w:t>diversos trechos que evidenciam a necessidade de acompanhamento de segurança com dados a serem relatados posteriormente – os “dados reais” – (leia a integra do documento no endereço eletrônico</w:t>
      </w:r>
      <w:r>
        <w:rPr>
          <w:rStyle w:val="apple-converted-space"/>
          <w:rFonts w:ascii="Palatino Linotype" w:hAnsi="Palatino Linotype" w:cs="Calibri"/>
          <w:color w:val="000000"/>
        </w:rPr>
        <w:t> </w:t>
      </w:r>
      <w:hyperlink r:id="rId6" w:history="1">
        <w:r>
          <w:rPr>
            <w:rStyle w:val="Hyperlink"/>
            <w:rFonts w:ascii="Palatino Linotype" w:hAnsi="Palatino Linotype" w:cs="Calibri"/>
          </w:rPr>
          <w:t>https://www.gov.br/anvisa/pt-br/assuntos/noticias-anvisa/2021/copy_of_PPAM511anosPfizer2.pdf</w:t>
        </w:r>
      </w:hyperlink>
      <w:r>
        <w:rPr>
          <w:rFonts w:ascii="Palatino Linotype" w:hAnsi="Palatino Linotype" w:cs="Calibri"/>
          <w:color w:val="000000"/>
        </w:rPr>
        <w:t>);</w:t>
      </w:r>
      <w:r>
        <w:rPr>
          <w:rStyle w:val="apple-converted-space"/>
          <w:rFonts w:ascii="Palatino Linotype" w:hAnsi="Palatino Linotype" w:cs="Calibri"/>
          <w:color w:val="000000"/>
        </w:rPr>
        <w:t> </w:t>
      </w:r>
    </w:p>
    <w:p w14:paraId="01137353"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i/>
          <w:iCs/>
          <w:color w:val="000000"/>
          <w:sz w:val="20"/>
          <w:szCs w:val="20"/>
        </w:rPr>
        <w:t>(…) Este total inclui os N ~2.250 participantes inscritos neste grupo de idade, dos quais os resultados são apresentados no relatório interino encaminhado. Outros 2.250 participantes adicionais foram inscritos neste grupo de idade (começando em agosto de 2021)</w:t>
      </w:r>
      <w:r>
        <w:rPr>
          <w:rStyle w:val="apple-converted-space"/>
          <w:rFonts w:ascii="Palatino Linotype" w:hAnsi="Palatino Linotype" w:cs="Calibri"/>
          <w:i/>
          <w:iCs/>
          <w:color w:val="000000"/>
          <w:sz w:val="20"/>
          <w:szCs w:val="20"/>
        </w:rPr>
        <w:t> </w:t>
      </w:r>
      <w:r>
        <w:rPr>
          <w:rFonts w:ascii="Palatino Linotype" w:hAnsi="Palatino Linotype" w:cs="Calibri"/>
          <w:b/>
          <w:bCs/>
          <w:i/>
          <w:iCs/>
          <w:color w:val="000000"/>
          <w:sz w:val="20"/>
          <w:szCs w:val="20"/>
        </w:rPr>
        <w:t>para acompanhamento de segurança e cujos dados serão relatados posteriormente. Além desses, outros 750 participantes de 5 a &lt;12 anos de idade</w:t>
      </w:r>
      <w:r>
        <w:rPr>
          <w:rFonts w:ascii="Palatino Linotype" w:hAnsi="Palatino Linotype" w:cs="Calibri"/>
          <w:i/>
          <w:iCs/>
          <w:color w:val="000000"/>
          <w:sz w:val="20"/>
          <w:szCs w:val="20"/>
        </w:rPr>
        <w:t> (randomizados 2:1 para receber BNT162b2 10ug ou placebo)</w:t>
      </w:r>
      <w:r>
        <w:rPr>
          <w:rStyle w:val="apple-converted-space"/>
          <w:rFonts w:ascii="Palatino Linotype" w:hAnsi="Palatino Linotype" w:cs="Calibri"/>
          <w:i/>
          <w:iCs/>
          <w:color w:val="000000"/>
          <w:sz w:val="20"/>
          <w:szCs w:val="20"/>
        </w:rPr>
        <w:t> </w:t>
      </w:r>
      <w:r>
        <w:rPr>
          <w:rFonts w:ascii="Palatino Linotype" w:hAnsi="Palatino Linotype" w:cs="Calibri"/>
          <w:i/>
          <w:iCs/>
          <w:color w:val="000000"/>
          <w:sz w:val="20"/>
          <w:szCs w:val="20"/>
          <w:shd w:val="clear" w:color="auto" w:fill="FFFF00"/>
        </w:rPr>
        <w:t>serão inscritos</w:t>
      </w:r>
      <w:r>
        <w:rPr>
          <w:rFonts w:ascii="Palatino Linotype" w:hAnsi="Palatino Linotype" w:cs="Calibri"/>
          <w:i/>
          <w:iCs/>
          <w:color w:val="000000"/>
          <w:sz w:val="20"/>
          <w:szCs w:val="20"/>
        </w:rPr>
        <w:t> (com início previsto para outubro de 2021</w:t>
      </w:r>
      <w:r>
        <w:rPr>
          <w:rFonts w:ascii="Palatino Linotype" w:hAnsi="Palatino Linotype" w:cs="Calibri"/>
          <w:i/>
          <w:iCs/>
          <w:color w:val="000000"/>
          <w:sz w:val="20"/>
          <w:szCs w:val="20"/>
          <w:shd w:val="clear" w:color="auto" w:fill="FFFF00"/>
        </w:rPr>
        <w:t>) para obter amostras de soro para teste de troponina I</w:t>
      </w:r>
      <w:r>
        <w:rPr>
          <w:rFonts w:ascii="Palatino Linotype" w:hAnsi="Palatino Linotype" w:cs="Calibri"/>
          <w:i/>
          <w:iCs/>
          <w:color w:val="000000"/>
          <w:sz w:val="20"/>
          <w:szCs w:val="20"/>
        </w:rPr>
        <w:t> (a empresa informou que esta análise será incluída em um relatório subsequente.</w:t>
      </w:r>
    </w:p>
    <w:p w14:paraId="623BF02C"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i/>
          <w:iCs/>
          <w:color w:val="000000"/>
          <w:sz w:val="20"/>
          <w:szCs w:val="20"/>
        </w:rPr>
        <w:t>O número de participantes nos estudos clínicos é muito pequeno para detectar qualquer risco potencial de miocardite associado à vacinação de forma confiável. (p. 39 do Parecer)</w:t>
      </w:r>
    </w:p>
    <w:p w14:paraId="3079AA98"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b/>
          <w:bCs/>
          <w:i/>
          <w:iCs/>
          <w:color w:val="000000"/>
          <w:sz w:val="20"/>
          <w:szCs w:val="20"/>
        </w:rPr>
        <w:t>Além disso, a segurança de longo prazo da vacina COVID-19 naqueles de 5 a &lt;12 anos de idade será estudada em 5 estudos de segurança pós autorização, incluindo um estudo de acompanhamento de 5 anos para avaliar sequelas de longo prazo de miocardite/pericardite pós-vacinal.</w:t>
      </w:r>
    </w:p>
    <w:p w14:paraId="469249A8"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xml:space="preserve"> Código de Nuremberg de 1947, em que o Brasil é signatário, sobre a inexorabilidade de consentimento dos indivíduos </w:t>
      </w:r>
      <w:proofErr w:type="gramStart"/>
      <w:r>
        <w:rPr>
          <w:rFonts w:ascii="Palatino Linotype" w:hAnsi="Palatino Linotype" w:cs="Calibri"/>
          <w:color w:val="000000"/>
        </w:rPr>
        <w:t>à</w:t>
      </w:r>
      <w:proofErr w:type="gramEnd"/>
      <w:r>
        <w:rPr>
          <w:rFonts w:ascii="Palatino Linotype" w:hAnsi="Palatino Linotype" w:cs="Calibri"/>
          <w:color w:val="000000"/>
        </w:rPr>
        <w:t xml:space="preserve"> submissões experimentais;</w:t>
      </w:r>
      <w:r>
        <w:rPr>
          <w:rStyle w:val="apple-converted-space"/>
          <w:rFonts w:ascii="Palatino Linotype" w:hAnsi="Palatino Linotype" w:cs="Calibri"/>
          <w:color w:val="000000"/>
        </w:rPr>
        <w:t> </w:t>
      </w:r>
    </w:p>
    <w:p w14:paraId="752093F6"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os registros oficiais dos estudos das vacinas experimentais publicados na plataforma</w:t>
      </w:r>
      <w:r>
        <w:rPr>
          <w:rStyle w:val="apple-converted-space"/>
          <w:rFonts w:ascii="Palatino Linotype" w:hAnsi="Palatino Linotype" w:cs="Calibri"/>
          <w:color w:val="000000"/>
        </w:rPr>
        <w:t> </w:t>
      </w:r>
      <w:hyperlink r:id="rId7" w:history="1">
        <w:r>
          <w:rPr>
            <w:rStyle w:val="Hyperlink"/>
            <w:rFonts w:ascii="Palatino Linotype" w:hAnsi="Palatino Linotype" w:cs="Calibri"/>
          </w:rPr>
          <w:t>https://clinicaltrials.gov/</w:t>
        </w:r>
      </w:hyperlink>
      <w:r>
        <w:rPr>
          <w:rFonts w:ascii="Palatino Linotype" w:hAnsi="Palatino Linotype" w:cs="Calibri"/>
          <w:color w:val="000000"/>
        </w:rPr>
        <w:t> do NIH, que caracterizam que todas as vacinas experimentais utilizadas no Brasil, neste momento, embora tenha autorização emergencial da ANVISA, ainda são EXPERIMENTAIS;</w:t>
      </w:r>
      <w:r>
        <w:rPr>
          <w:rStyle w:val="apple-converted-space"/>
          <w:rFonts w:ascii="Palatino Linotype" w:hAnsi="Palatino Linotype" w:cs="Calibri"/>
          <w:color w:val="000000"/>
        </w:rPr>
        <w:t> </w:t>
      </w:r>
    </w:p>
    <w:p w14:paraId="7DD92DB7"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a RDC 475, Art. 3</w:t>
      </w:r>
      <w:proofErr w:type="gramStart"/>
      <w:r>
        <w:rPr>
          <w:rFonts w:ascii="Palatino Linotype" w:hAnsi="Palatino Linotype" w:cs="Calibri"/>
          <w:color w:val="000000"/>
        </w:rPr>
        <w:t>º,  da</w:t>
      </w:r>
      <w:proofErr w:type="gramEnd"/>
      <w:r>
        <w:rPr>
          <w:rFonts w:ascii="Palatino Linotype" w:hAnsi="Palatino Linotype" w:cs="Calibri"/>
          <w:color w:val="000000"/>
        </w:rPr>
        <w:t xml:space="preserve"> ANVISA, que caracteriza as vacinas experimentais como experimentais em condições emergenciais;</w:t>
      </w:r>
      <w:r>
        <w:rPr>
          <w:rStyle w:val="apple-converted-space"/>
          <w:rFonts w:ascii="Palatino Linotype" w:hAnsi="Palatino Linotype" w:cs="Calibri"/>
          <w:color w:val="000000"/>
        </w:rPr>
        <w:t> </w:t>
      </w:r>
    </w:p>
    <w:p w14:paraId="0FBBAE4F"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os riscos por meio dos compostos da substância experimental a qual chamam vacina, com registros emergenciais, é sabido que o produto colocado à disposição para vacinação das crianças contém os seguintes componentes:</w:t>
      </w:r>
      <w:r>
        <w:rPr>
          <w:rStyle w:val="apple-converted-space"/>
          <w:rFonts w:ascii="Palatino Linotype" w:hAnsi="Palatino Linotype" w:cs="Calibri"/>
          <w:color w:val="000000"/>
        </w:rPr>
        <w:t> </w:t>
      </w:r>
    </w:p>
    <w:p w14:paraId="2E1AC4AC"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i/>
          <w:iCs/>
          <w:color w:val="000000"/>
          <w:sz w:val="20"/>
          <w:szCs w:val="20"/>
        </w:rPr>
        <w:t>1) ALC-0315 (</w:t>
      </w:r>
      <w:proofErr w:type="spellStart"/>
      <w:r>
        <w:rPr>
          <w:rFonts w:ascii="Palatino Linotype" w:hAnsi="Palatino Linotype" w:cs="Calibri"/>
          <w:i/>
          <w:iCs/>
          <w:color w:val="000000"/>
          <w:sz w:val="20"/>
          <w:szCs w:val="20"/>
        </w:rPr>
        <w:t>di-hexildecanoato</w:t>
      </w:r>
      <w:proofErr w:type="spellEnd"/>
      <w:r>
        <w:rPr>
          <w:rFonts w:ascii="Palatino Linotype" w:hAnsi="Palatino Linotype" w:cs="Calibri"/>
          <w:i/>
          <w:iCs/>
          <w:color w:val="000000"/>
          <w:sz w:val="20"/>
          <w:szCs w:val="20"/>
        </w:rPr>
        <w:t xml:space="preserve"> de </w:t>
      </w:r>
      <w:proofErr w:type="spellStart"/>
      <w:r>
        <w:rPr>
          <w:rFonts w:ascii="Palatino Linotype" w:hAnsi="Palatino Linotype" w:cs="Calibri"/>
          <w:i/>
          <w:iCs/>
          <w:color w:val="000000"/>
          <w:sz w:val="20"/>
          <w:szCs w:val="20"/>
        </w:rPr>
        <w:t>di-hexilaminobutanol</w:t>
      </w:r>
      <w:proofErr w:type="spellEnd"/>
      <w:r>
        <w:rPr>
          <w:rFonts w:ascii="Palatino Linotype" w:hAnsi="Palatino Linotype" w:cs="Calibri"/>
          <w:i/>
          <w:iCs/>
          <w:color w:val="000000"/>
          <w:sz w:val="20"/>
          <w:szCs w:val="20"/>
        </w:rPr>
        <w:t>);</w:t>
      </w:r>
      <w:r>
        <w:rPr>
          <w:rStyle w:val="apple-converted-space"/>
          <w:rFonts w:ascii="Palatino Linotype" w:hAnsi="Palatino Linotype" w:cs="Calibri"/>
          <w:i/>
          <w:iCs/>
          <w:color w:val="000000"/>
          <w:sz w:val="20"/>
          <w:szCs w:val="20"/>
        </w:rPr>
        <w:t> </w:t>
      </w:r>
    </w:p>
    <w:p w14:paraId="53F7C842"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i/>
          <w:iCs/>
          <w:color w:val="000000"/>
          <w:sz w:val="20"/>
          <w:szCs w:val="20"/>
        </w:rPr>
        <w:t>2) ALC-0159 (</w:t>
      </w:r>
      <w:proofErr w:type="spellStart"/>
      <w:r>
        <w:rPr>
          <w:rFonts w:ascii="Palatino Linotype" w:hAnsi="Palatino Linotype" w:cs="Calibri"/>
          <w:i/>
          <w:iCs/>
          <w:color w:val="000000"/>
          <w:sz w:val="20"/>
          <w:szCs w:val="20"/>
        </w:rPr>
        <w:t>ditetradecilmetoxipolietilenoglicolacetamida</w:t>
      </w:r>
      <w:proofErr w:type="spellEnd"/>
      <w:r>
        <w:rPr>
          <w:rFonts w:ascii="Palatino Linotype" w:hAnsi="Palatino Linotype" w:cs="Calibri"/>
          <w:i/>
          <w:iCs/>
          <w:color w:val="000000"/>
          <w:sz w:val="20"/>
          <w:szCs w:val="20"/>
        </w:rPr>
        <w:t>); e,</w:t>
      </w:r>
      <w:r>
        <w:rPr>
          <w:rStyle w:val="apple-converted-space"/>
          <w:rFonts w:ascii="Palatino Linotype" w:hAnsi="Palatino Linotype" w:cs="Calibri"/>
          <w:i/>
          <w:iCs/>
          <w:color w:val="000000"/>
          <w:sz w:val="20"/>
          <w:szCs w:val="20"/>
        </w:rPr>
        <w:t> </w:t>
      </w:r>
    </w:p>
    <w:p w14:paraId="63CA7AA5"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i/>
          <w:iCs/>
          <w:color w:val="000000"/>
          <w:sz w:val="20"/>
          <w:szCs w:val="20"/>
        </w:rPr>
        <w:t xml:space="preserve">3) </w:t>
      </w:r>
      <w:proofErr w:type="spellStart"/>
      <w:r>
        <w:rPr>
          <w:rFonts w:ascii="Palatino Linotype" w:hAnsi="Palatino Linotype" w:cs="Calibri"/>
          <w:i/>
          <w:iCs/>
          <w:color w:val="000000"/>
          <w:sz w:val="20"/>
          <w:szCs w:val="20"/>
        </w:rPr>
        <w:t>Trometamina</w:t>
      </w:r>
      <w:proofErr w:type="spellEnd"/>
      <w:r>
        <w:rPr>
          <w:rFonts w:ascii="Palatino Linotype" w:hAnsi="Palatino Linotype" w:cs="Calibri"/>
          <w:i/>
          <w:iCs/>
          <w:color w:val="000000"/>
          <w:sz w:val="20"/>
          <w:szCs w:val="20"/>
        </w:rPr>
        <w:t xml:space="preserve"> (tris-</w:t>
      </w:r>
      <w:proofErr w:type="spellStart"/>
      <w:r>
        <w:rPr>
          <w:rFonts w:ascii="Palatino Linotype" w:hAnsi="Palatino Linotype" w:cs="Calibri"/>
          <w:i/>
          <w:iCs/>
          <w:color w:val="000000"/>
          <w:sz w:val="20"/>
          <w:szCs w:val="20"/>
        </w:rPr>
        <w:t>hidroximetilaminometano</w:t>
      </w:r>
      <w:proofErr w:type="spellEnd"/>
      <w:r>
        <w:rPr>
          <w:rFonts w:ascii="Palatino Linotype" w:hAnsi="Palatino Linotype" w:cs="Calibri"/>
          <w:i/>
          <w:iCs/>
          <w:color w:val="000000"/>
          <w:sz w:val="20"/>
          <w:szCs w:val="20"/>
        </w:rPr>
        <w:t xml:space="preserve">) ou THAM ou </w:t>
      </w:r>
      <w:proofErr w:type="spellStart"/>
      <w:r>
        <w:rPr>
          <w:rFonts w:ascii="Palatino Linotype" w:hAnsi="Palatino Linotype" w:cs="Calibri"/>
          <w:i/>
          <w:iCs/>
          <w:color w:val="000000"/>
          <w:sz w:val="20"/>
          <w:szCs w:val="20"/>
        </w:rPr>
        <w:t>Trometramol</w:t>
      </w:r>
      <w:proofErr w:type="spellEnd"/>
      <w:r>
        <w:rPr>
          <w:rFonts w:ascii="Palatino Linotype" w:hAnsi="Palatino Linotype" w:cs="Calibri"/>
          <w:i/>
          <w:iCs/>
          <w:color w:val="000000"/>
          <w:sz w:val="20"/>
          <w:szCs w:val="20"/>
        </w:rPr>
        <w:t>.</w:t>
      </w:r>
      <w:r>
        <w:rPr>
          <w:rStyle w:val="apple-converted-space"/>
          <w:rFonts w:ascii="Palatino Linotype" w:hAnsi="Palatino Linotype" w:cs="Calibri"/>
          <w:i/>
          <w:iCs/>
          <w:color w:val="000000"/>
          <w:sz w:val="20"/>
          <w:szCs w:val="20"/>
        </w:rPr>
        <w:t> </w:t>
      </w:r>
    </w:p>
    <w:p w14:paraId="69CFF0A5" w14:textId="77777777" w:rsidR="005B122D" w:rsidRDefault="005B122D" w:rsidP="005B122D">
      <w:pPr>
        <w:pStyle w:val="NormalWeb"/>
        <w:shd w:val="clear" w:color="auto" w:fill="FFFFFF"/>
        <w:spacing w:before="0" w:beforeAutospacing="0" w:after="0" w:afterAutospacing="0"/>
        <w:ind w:left="2832"/>
        <w:jc w:val="both"/>
        <w:rPr>
          <w:rFonts w:ascii="Calibri" w:hAnsi="Calibri" w:cs="Calibri"/>
          <w:color w:val="000000"/>
          <w:sz w:val="22"/>
          <w:szCs w:val="22"/>
        </w:rPr>
      </w:pPr>
      <w:r>
        <w:rPr>
          <w:rFonts w:ascii="Palatino Linotype" w:hAnsi="Palatino Linotype" w:cs="Calibri"/>
          <w:i/>
          <w:iCs/>
          <w:color w:val="000000"/>
          <w:sz w:val="20"/>
          <w:szCs w:val="20"/>
        </w:rPr>
        <w:t xml:space="preserve">Sobre os componentes 1 e 2, acima citados, leia-se trecho no Laudo Técnico nº 2/2022 – Giovanna Gomes Lara - </w:t>
      </w:r>
      <w:proofErr w:type="spellStart"/>
      <w:r>
        <w:rPr>
          <w:rFonts w:ascii="Palatino Linotype" w:hAnsi="Palatino Linotype" w:cs="Calibri"/>
          <w:i/>
          <w:iCs/>
          <w:color w:val="000000"/>
          <w:sz w:val="20"/>
          <w:szCs w:val="20"/>
        </w:rPr>
        <w:t>CRBio</w:t>
      </w:r>
      <w:proofErr w:type="spellEnd"/>
      <w:r>
        <w:rPr>
          <w:rFonts w:ascii="Palatino Linotype" w:hAnsi="Palatino Linotype" w:cs="Calibri"/>
          <w:i/>
          <w:iCs/>
          <w:color w:val="000000"/>
          <w:sz w:val="20"/>
          <w:szCs w:val="20"/>
        </w:rPr>
        <w:t xml:space="preserve"> 123028/04 - Pfizer BNT162b2,   Esses compostos, conforme expressa recomendação de atuais fabricantes,</w:t>
      </w:r>
      <w:r>
        <w:rPr>
          <w:rStyle w:val="apple-converted-space"/>
          <w:rFonts w:ascii="Palatino Linotype" w:hAnsi="Palatino Linotype" w:cs="Calibri"/>
          <w:i/>
          <w:iCs/>
          <w:color w:val="000000"/>
          <w:sz w:val="20"/>
          <w:szCs w:val="20"/>
        </w:rPr>
        <w:t> </w:t>
      </w:r>
      <w:r>
        <w:rPr>
          <w:rFonts w:ascii="Palatino Linotype" w:hAnsi="Palatino Linotype" w:cs="Calibri"/>
          <w:b/>
          <w:bCs/>
          <w:i/>
          <w:iCs/>
          <w:color w:val="000000"/>
          <w:sz w:val="20"/>
          <w:szCs w:val="20"/>
          <w:shd w:val="clear" w:color="auto" w:fill="FFFF00"/>
        </w:rPr>
        <w:t>DESTINAM-SE AO USO EXCLUSIVAMENTE PARA FINS DE PESQUISA CIENTÍFICA</w:t>
      </w:r>
      <w:r>
        <w:rPr>
          <w:rFonts w:ascii="Palatino Linotype" w:hAnsi="Palatino Linotype" w:cs="Calibri"/>
          <w:b/>
          <w:bCs/>
          <w:i/>
          <w:iCs/>
          <w:color w:val="000000"/>
          <w:sz w:val="20"/>
          <w:szCs w:val="20"/>
        </w:rPr>
        <w:t>,</w:t>
      </w:r>
      <w:r>
        <w:rPr>
          <w:rFonts w:ascii="Palatino Linotype" w:hAnsi="Palatino Linotype" w:cs="Calibri"/>
          <w:i/>
          <w:iCs/>
          <w:color w:val="000000"/>
          <w:sz w:val="20"/>
          <w:szCs w:val="20"/>
        </w:rPr>
        <w:t> agindo como veículos de entrega de material genético artificial/exógeno em células em cultura laboratorial</w:t>
      </w:r>
      <w:r>
        <w:rPr>
          <w:rStyle w:val="apple-converted-space"/>
          <w:rFonts w:ascii="Palatino Linotype" w:hAnsi="Palatino Linotype" w:cs="Calibri"/>
          <w:i/>
          <w:iCs/>
          <w:color w:val="000000"/>
          <w:sz w:val="20"/>
          <w:szCs w:val="20"/>
        </w:rPr>
        <w:t> </w:t>
      </w:r>
      <w:r>
        <w:rPr>
          <w:rFonts w:ascii="Palatino Linotype" w:hAnsi="Palatino Linotype" w:cs="Calibri"/>
          <w:b/>
          <w:bCs/>
          <w:i/>
          <w:iCs/>
          <w:color w:val="000000"/>
          <w:sz w:val="20"/>
          <w:szCs w:val="20"/>
        </w:rPr>
        <w:t>–</w:t>
      </w:r>
      <w:r>
        <w:rPr>
          <w:rStyle w:val="apple-converted-space"/>
          <w:rFonts w:ascii="Palatino Linotype" w:hAnsi="Palatino Linotype" w:cs="Calibri"/>
          <w:b/>
          <w:bCs/>
          <w:i/>
          <w:iCs/>
          <w:color w:val="000000"/>
          <w:sz w:val="20"/>
          <w:szCs w:val="20"/>
        </w:rPr>
        <w:t> </w:t>
      </w:r>
      <w:r>
        <w:rPr>
          <w:rFonts w:ascii="Palatino Linotype" w:hAnsi="Palatino Linotype" w:cs="Calibri"/>
          <w:b/>
          <w:bCs/>
          <w:i/>
          <w:iCs/>
          <w:color w:val="000000"/>
          <w:sz w:val="20"/>
          <w:szCs w:val="20"/>
          <w:shd w:val="clear" w:color="auto" w:fill="FFFF00"/>
        </w:rPr>
        <w:t>SEM DADOS PARA USO EM HUMANOS E ANIMAIS</w:t>
      </w:r>
      <w:r>
        <w:rPr>
          <w:rFonts w:ascii="Palatino Linotype" w:hAnsi="Palatino Linotype" w:cs="Calibri"/>
          <w:i/>
          <w:iCs/>
          <w:color w:val="000000"/>
          <w:sz w:val="20"/>
          <w:szCs w:val="20"/>
        </w:rPr>
        <w:t xml:space="preserve"> – com intuito de modificar a expressão de um gene e consequentemente o funcionamento celular. A primeira inconsistência </w:t>
      </w:r>
      <w:r>
        <w:rPr>
          <w:rFonts w:ascii="Palatino Linotype" w:hAnsi="Palatino Linotype" w:cs="Calibri"/>
          <w:i/>
          <w:iCs/>
          <w:color w:val="000000"/>
          <w:sz w:val="20"/>
          <w:szCs w:val="20"/>
        </w:rPr>
        <w:lastRenderedPageBreak/>
        <w:t>encontrada foi a ausência do uso de nomenclatura internacional da IUPAC (União Internacional de Química Pura e Aplicada) na bula em sua versão brasileira. Após encontrar os nomes comerciais oficiais nos documentos informativos dos fabricantes sobre esses compostos são feitas duas afirmações: 1) de que esses compostos não são autorizados para uso nem veterinário nem humano, sendo somente para pesquisa, portanto incompatíveis com o propósito de diagnóstico ou terapia; 2) os dois compostos estão presentes no produto COMIRNATY (BNT162b2) contra o SARS-Cov2.  Em item adicional do documento do comprador que acompanha o produto, o ALC 0315 consta como potencial carcinogênico enquanto para o ALC 0159 tal efeito ainda não foi avaliado. O desencadeamento de choque anafilático nos recipientes da BNT162b2 já está documentado, e as notificações continuam a serem adicionadas no VAERS (</w:t>
      </w:r>
      <w:proofErr w:type="spellStart"/>
      <w:r>
        <w:rPr>
          <w:rFonts w:ascii="Palatino Linotype" w:hAnsi="Palatino Linotype" w:cs="Calibri"/>
          <w:i/>
          <w:iCs/>
          <w:color w:val="000000"/>
          <w:sz w:val="20"/>
          <w:szCs w:val="20"/>
        </w:rPr>
        <w:t>Vaccine</w:t>
      </w:r>
      <w:proofErr w:type="spellEnd"/>
      <w:r>
        <w:rPr>
          <w:rFonts w:ascii="Palatino Linotype" w:hAnsi="Palatino Linotype" w:cs="Calibri"/>
          <w:i/>
          <w:iCs/>
          <w:color w:val="000000"/>
          <w:sz w:val="20"/>
          <w:szCs w:val="20"/>
        </w:rPr>
        <w:t xml:space="preserve"> Adverse </w:t>
      </w:r>
      <w:proofErr w:type="spellStart"/>
      <w:r>
        <w:rPr>
          <w:rFonts w:ascii="Palatino Linotype" w:hAnsi="Palatino Linotype" w:cs="Calibri"/>
          <w:i/>
          <w:iCs/>
          <w:color w:val="000000"/>
          <w:sz w:val="20"/>
          <w:szCs w:val="20"/>
        </w:rPr>
        <w:t>Events</w:t>
      </w:r>
      <w:proofErr w:type="spellEnd"/>
      <w:r>
        <w:rPr>
          <w:rFonts w:ascii="Palatino Linotype" w:hAnsi="Palatino Linotype" w:cs="Calibri"/>
          <w:i/>
          <w:iCs/>
          <w:color w:val="000000"/>
          <w:sz w:val="20"/>
          <w:szCs w:val="20"/>
        </w:rPr>
        <w:t xml:space="preserve"> </w:t>
      </w:r>
      <w:proofErr w:type="spellStart"/>
      <w:r>
        <w:rPr>
          <w:rFonts w:ascii="Palatino Linotype" w:hAnsi="Palatino Linotype" w:cs="Calibri"/>
          <w:i/>
          <w:iCs/>
          <w:color w:val="000000"/>
          <w:sz w:val="20"/>
          <w:szCs w:val="20"/>
        </w:rPr>
        <w:t>Reporting</w:t>
      </w:r>
      <w:proofErr w:type="spellEnd"/>
      <w:r>
        <w:rPr>
          <w:rFonts w:ascii="Palatino Linotype" w:hAnsi="Palatino Linotype" w:cs="Calibri"/>
          <w:i/>
          <w:iCs/>
          <w:color w:val="000000"/>
          <w:sz w:val="20"/>
          <w:szCs w:val="20"/>
        </w:rPr>
        <w:t xml:space="preserve"> System), sistema americano de notificação de efeitos adversos por vacinas. Acerca da </w:t>
      </w:r>
      <w:proofErr w:type="spellStart"/>
      <w:r>
        <w:rPr>
          <w:rFonts w:ascii="Palatino Linotype" w:hAnsi="Palatino Linotype" w:cs="Calibri"/>
          <w:i/>
          <w:iCs/>
          <w:color w:val="000000"/>
          <w:sz w:val="20"/>
          <w:szCs w:val="20"/>
        </w:rPr>
        <w:t>Trometamina</w:t>
      </w:r>
      <w:proofErr w:type="spellEnd"/>
      <w:r>
        <w:rPr>
          <w:rFonts w:ascii="Palatino Linotype" w:hAnsi="Palatino Linotype" w:cs="Calibri"/>
          <w:i/>
          <w:iCs/>
          <w:color w:val="000000"/>
          <w:sz w:val="20"/>
          <w:szCs w:val="20"/>
        </w:rPr>
        <w:t xml:space="preserve"> (tris-</w:t>
      </w:r>
      <w:proofErr w:type="spellStart"/>
      <w:r>
        <w:rPr>
          <w:rFonts w:ascii="Palatino Linotype" w:hAnsi="Palatino Linotype" w:cs="Calibri"/>
          <w:i/>
          <w:iCs/>
          <w:color w:val="000000"/>
          <w:sz w:val="20"/>
          <w:szCs w:val="20"/>
        </w:rPr>
        <w:t>hidroximetilaminometano</w:t>
      </w:r>
      <w:proofErr w:type="spellEnd"/>
      <w:r>
        <w:rPr>
          <w:rFonts w:ascii="Palatino Linotype" w:hAnsi="Palatino Linotype" w:cs="Calibri"/>
          <w:i/>
          <w:iCs/>
          <w:color w:val="000000"/>
          <w:sz w:val="20"/>
          <w:szCs w:val="20"/>
        </w:rPr>
        <w:t xml:space="preserve">) ou THAM ou </w:t>
      </w:r>
      <w:proofErr w:type="spellStart"/>
      <w:r>
        <w:rPr>
          <w:rFonts w:ascii="Palatino Linotype" w:hAnsi="Palatino Linotype" w:cs="Calibri"/>
          <w:i/>
          <w:iCs/>
          <w:color w:val="000000"/>
          <w:sz w:val="20"/>
          <w:szCs w:val="20"/>
        </w:rPr>
        <w:t>Trometramol</w:t>
      </w:r>
      <w:proofErr w:type="spellEnd"/>
      <w:r>
        <w:rPr>
          <w:rFonts w:ascii="Palatino Linotype" w:hAnsi="Palatino Linotype" w:cs="Calibri"/>
          <w:i/>
          <w:iCs/>
          <w:color w:val="000000"/>
          <w:sz w:val="20"/>
          <w:szCs w:val="20"/>
        </w:rPr>
        <w:t xml:space="preserve">. A </w:t>
      </w:r>
      <w:proofErr w:type="spellStart"/>
      <w:r>
        <w:rPr>
          <w:rFonts w:ascii="Palatino Linotype" w:hAnsi="Palatino Linotype" w:cs="Calibri"/>
          <w:i/>
          <w:iCs/>
          <w:color w:val="000000"/>
          <w:sz w:val="20"/>
          <w:szCs w:val="20"/>
        </w:rPr>
        <w:t>Trometamina</w:t>
      </w:r>
      <w:proofErr w:type="spellEnd"/>
      <w:r>
        <w:rPr>
          <w:rFonts w:ascii="Palatino Linotype" w:hAnsi="Palatino Linotype" w:cs="Calibri"/>
          <w:i/>
          <w:iCs/>
          <w:color w:val="000000"/>
          <w:sz w:val="20"/>
          <w:szCs w:val="20"/>
        </w:rPr>
        <w:t>, conhecida como THAM ou Tris, de acordo com sua descrição farmacológica é um composto utilizado no controle de acidose metabólica (baixo pH do sangue) como alternativa à solução de bicarbonato de sódio administrada por via endovenosa.  Atualmente a TROMETAMINA ENCONTRA-SE SUSPENSA de acordo com informação da drugs.com uma das maiores plataformas de fármacos para consulta tanto nos Estados Unidos da América quanto na Europa, assim como consta também no livro alaranjado do FDA (Orange Book, em que estão listados os fármacos autorizados), acessado pelo link</w:t>
      </w:r>
      <w:r>
        <w:rPr>
          <w:rStyle w:val="apple-converted-space"/>
          <w:rFonts w:ascii="Palatino Linotype" w:hAnsi="Palatino Linotype" w:cs="Calibri"/>
          <w:i/>
          <w:iCs/>
          <w:color w:val="000000"/>
          <w:sz w:val="20"/>
          <w:szCs w:val="20"/>
        </w:rPr>
        <w:t> </w:t>
      </w:r>
      <w:hyperlink r:id="rId8" w:history="1">
        <w:r>
          <w:rPr>
            <w:rStyle w:val="Hyperlink"/>
            <w:rFonts w:ascii="Palatino Linotype" w:hAnsi="Palatino Linotype" w:cs="Calibri"/>
            <w:i/>
            <w:iCs/>
            <w:sz w:val="20"/>
            <w:szCs w:val="20"/>
          </w:rPr>
          <w:t>https://www.accessdata.fda.gov/scripts/cder/ob/results_product.cfm?Appl_Type=N&amp;Appl_No=013025#19261</w:t>
        </w:r>
      </w:hyperlink>
      <w:r>
        <w:rPr>
          <w:rFonts w:ascii="Palatino Linotype" w:hAnsi="Palatino Linotype" w:cs="Calibri"/>
          <w:i/>
          <w:iCs/>
          <w:color w:val="000000"/>
          <w:sz w:val="20"/>
          <w:szCs w:val="20"/>
        </w:rPr>
        <w:t xml:space="preserve"> . O THAM se encontra SOB PRESCRIÇÃO apenas, e o THAM-E que é a forma da </w:t>
      </w:r>
      <w:proofErr w:type="spellStart"/>
      <w:r>
        <w:rPr>
          <w:rFonts w:ascii="Palatino Linotype" w:hAnsi="Palatino Linotype" w:cs="Calibri"/>
          <w:i/>
          <w:iCs/>
          <w:color w:val="000000"/>
          <w:sz w:val="20"/>
          <w:szCs w:val="20"/>
        </w:rPr>
        <w:t>Trometamina</w:t>
      </w:r>
      <w:proofErr w:type="spellEnd"/>
      <w:r>
        <w:rPr>
          <w:rFonts w:ascii="Palatino Linotype" w:hAnsi="Palatino Linotype" w:cs="Calibri"/>
          <w:i/>
          <w:iCs/>
          <w:color w:val="000000"/>
          <w:sz w:val="20"/>
          <w:szCs w:val="20"/>
        </w:rPr>
        <w:t xml:space="preserve"> em sal também presente na bula está DESCONTINUADO, SUSPENSO.  A substância em questão é produzida por uma única empresa, HOSPIRA, adquirida pela Pfizer em 2015, segundo informações constantes do site da própria Pfizer. Sua fabricação cessou em 2016 de acordo com comunicados emitidos por compradores e revendedores do produto (Anexo 6 e 7). Os atuais fornecedores (exemplo em Anexo 9) indicam expressamente na descrição do produto que a </w:t>
      </w:r>
      <w:proofErr w:type="spellStart"/>
      <w:r>
        <w:rPr>
          <w:rFonts w:ascii="Palatino Linotype" w:hAnsi="Palatino Linotype" w:cs="Calibri"/>
          <w:i/>
          <w:iCs/>
          <w:color w:val="000000"/>
          <w:sz w:val="20"/>
          <w:szCs w:val="20"/>
        </w:rPr>
        <w:t>Trometamina</w:t>
      </w:r>
      <w:proofErr w:type="spellEnd"/>
      <w:r>
        <w:rPr>
          <w:rFonts w:ascii="Palatino Linotype" w:hAnsi="Palatino Linotype" w:cs="Calibri"/>
          <w:i/>
          <w:iCs/>
          <w:color w:val="000000"/>
          <w:sz w:val="20"/>
          <w:szCs w:val="20"/>
        </w:rPr>
        <w:t xml:space="preserve"> – à semelhança dos </w:t>
      </w:r>
      <w:proofErr w:type="spellStart"/>
      <w:r>
        <w:rPr>
          <w:rFonts w:ascii="Palatino Linotype" w:hAnsi="Palatino Linotype" w:cs="Calibri"/>
          <w:i/>
          <w:iCs/>
          <w:color w:val="000000"/>
          <w:sz w:val="20"/>
          <w:szCs w:val="20"/>
        </w:rPr>
        <w:t>ALCs</w:t>
      </w:r>
      <w:proofErr w:type="spellEnd"/>
      <w:r>
        <w:rPr>
          <w:rFonts w:ascii="Palatino Linotype" w:hAnsi="Palatino Linotype" w:cs="Calibri"/>
          <w:i/>
          <w:iCs/>
          <w:color w:val="000000"/>
          <w:sz w:val="20"/>
          <w:szCs w:val="20"/>
        </w:rPr>
        <w:t xml:space="preserve"> – não é indicada para uso em humanos e em animais. Segundo informações oficiais, somente é possível o uso do produto na formulação “</w:t>
      </w:r>
      <w:proofErr w:type="spellStart"/>
      <w:r>
        <w:rPr>
          <w:rFonts w:ascii="Palatino Linotype" w:hAnsi="Palatino Linotype" w:cs="Calibri"/>
          <w:i/>
          <w:iCs/>
          <w:color w:val="000000"/>
          <w:sz w:val="20"/>
          <w:szCs w:val="20"/>
        </w:rPr>
        <w:t>Ketoralac</w:t>
      </w:r>
      <w:proofErr w:type="spellEnd"/>
      <w:r>
        <w:rPr>
          <w:rFonts w:ascii="Palatino Linotype" w:hAnsi="Palatino Linotype" w:cs="Calibri"/>
          <w:i/>
          <w:iCs/>
          <w:color w:val="000000"/>
          <w:sz w:val="20"/>
          <w:szCs w:val="20"/>
        </w:rPr>
        <w:t xml:space="preserve"> + </w:t>
      </w:r>
      <w:proofErr w:type="spellStart"/>
      <w:r>
        <w:rPr>
          <w:rFonts w:ascii="Palatino Linotype" w:hAnsi="Palatino Linotype" w:cs="Calibri"/>
          <w:i/>
          <w:iCs/>
          <w:color w:val="000000"/>
          <w:sz w:val="20"/>
          <w:szCs w:val="20"/>
        </w:rPr>
        <w:t>trometamina</w:t>
      </w:r>
      <w:proofErr w:type="spellEnd"/>
      <w:r>
        <w:rPr>
          <w:rFonts w:ascii="Palatino Linotype" w:hAnsi="Palatino Linotype" w:cs="Calibri"/>
          <w:i/>
          <w:iCs/>
          <w:color w:val="000000"/>
          <w:sz w:val="20"/>
          <w:szCs w:val="20"/>
        </w:rPr>
        <w:t>”, que constitui em uma composição distinta daquela presenta no produto COMIRNATY, além de ser autorizada apenas mediante prescrição médica.</w:t>
      </w:r>
    </w:p>
    <w:p w14:paraId="694FC893"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a Declaração de Helsinque de 1964 da Associação Médica Mundial, que prevê regulamentação ética para experimentos;</w:t>
      </w:r>
      <w:r>
        <w:rPr>
          <w:rStyle w:val="apple-converted-space"/>
          <w:rFonts w:ascii="Palatino Linotype" w:hAnsi="Palatino Linotype" w:cs="Calibri"/>
          <w:color w:val="000000"/>
        </w:rPr>
        <w:t> </w:t>
      </w:r>
    </w:p>
    <w:p w14:paraId="34CE990D"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a Declaração Universal sobre Bioética e Direitos Humanos questões éticas relacionadas à medicina, às ciências da vida e às tecnologias associadas quando aplicadas aos seres humanos, levando em conta suas dimensões sociais, legais e ambientais;</w:t>
      </w:r>
      <w:r>
        <w:rPr>
          <w:rStyle w:val="apple-converted-space"/>
          <w:rFonts w:ascii="Palatino Linotype" w:hAnsi="Palatino Linotype" w:cs="Calibri"/>
          <w:color w:val="000000"/>
        </w:rPr>
        <w:t> </w:t>
      </w:r>
    </w:p>
    <w:p w14:paraId="74D265E8"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xml:space="preserve"> a Declaração Universal dos Direitos humanos sobre o reconhecimento da dignidade inerente a todos os membros da família humana e </w:t>
      </w:r>
      <w:r>
        <w:rPr>
          <w:rFonts w:ascii="Palatino Linotype" w:hAnsi="Palatino Linotype" w:cs="Calibri"/>
          <w:color w:val="000000"/>
        </w:rPr>
        <w:lastRenderedPageBreak/>
        <w:t>dos seus direitos iguais e inalienáveis constitui o fundamento da liberdade, da justiça;</w:t>
      </w:r>
      <w:r>
        <w:rPr>
          <w:rStyle w:val="apple-converted-space"/>
          <w:rFonts w:ascii="Palatino Linotype" w:hAnsi="Palatino Linotype" w:cs="Calibri"/>
          <w:color w:val="000000"/>
        </w:rPr>
        <w:t> </w:t>
      </w:r>
    </w:p>
    <w:p w14:paraId="469C5B7C"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que o Pacto Internacional sobre Direitos Civis e Políticos, que versa sobre o direito à vida ser inerente à pessoa humana, e que deverá ser protegido pela lei, e que ninguém poderá ser arbitrariamente privado de sua vida;</w:t>
      </w:r>
      <w:r>
        <w:rPr>
          <w:rStyle w:val="apple-converted-space"/>
          <w:rFonts w:ascii="Palatino Linotype" w:hAnsi="Palatino Linotype" w:cs="Calibri"/>
          <w:color w:val="000000"/>
        </w:rPr>
        <w:t> </w:t>
      </w:r>
    </w:p>
    <w:p w14:paraId="776E7497"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rPr>
        <w:t>CONSIDERANDO</w:t>
      </w:r>
      <w:r>
        <w:rPr>
          <w:rFonts w:ascii="Palatino Linotype" w:hAnsi="Palatino Linotype" w:cs="Calibri"/>
          <w:color w:val="000000"/>
        </w:rPr>
        <w:t> as circunstâncias que envolvem a vacinação em massa de crianças de 5 a 11 anos ainda são incertas e</w:t>
      </w:r>
      <w:r>
        <w:rPr>
          <w:rStyle w:val="apple-converted-space"/>
          <w:rFonts w:ascii="Palatino Linotype" w:hAnsi="Palatino Linotype" w:cs="Calibri"/>
          <w:color w:val="000000"/>
        </w:rPr>
        <w:t> </w:t>
      </w:r>
      <w:r>
        <w:rPr>
          <w:rFonts w:ascii="Palatino Linotype" w:hAnsi="Palatino Linotype" w:cs="Calibri"/>
          <w:b/>
          <w:bCs/>
          <w:color w:val="000000"/>
          <w:u w:val="single"/>
        </w:rPr>
        <w:t>apresentam riscos de danos irreparáveis</w:t>
      </w:r>
      <w:r>
        <w:rPr>
          <w:rFonts w:ascii="Palatino Linotype" w:hAnsi="Palatino Linotype" w:cs="Calibri"/>
          <w:color w:val="000000"/>
        </w:rPr>
        <w:t> e,</w:t>
      </w:r>
      <w:r>
        <w:rPr>
          <w:rStyle w:val="apple-converted-space"/>
          <w:rFonts w:ascii="Palatino Linotype" w:hAnsi="Palatino Linotype" w:cs="Calibri"/>
          <w:color w:val="000000"/>
        </w:rPr>
        <w:t> </w:t>
      </w:r>
      <w:r>
        <w:rPr>
          <w:rFonts w:ascii="Palatino Linotype" w:hAnsi="Palatino Linotype" w:cs="Calibri"/>
          <w:b/>
          <w:bCs/>
          <w:color w:val="000000"/>
          <w:u w:val="single"/>
        </w:rPr>
        <w:t>ainda, desconhecidos</w:t>
      </w:r>
      <w:r>
        <w:rPr>
          <w:rFonts w:ascii="Palatino Linotype" w:hAnsi="Palatino Linotype" w:cs="Calibri"/>
          <w:color w:val="000000"/>
        </w:rPr>
        <w:t> em grande parte, razão pela qual sua exigência configura crimes e enseja responsabilização em todas as esferas,</w:t>
      </w:r>
      <w:r>
        <w:rPr>
          <w:rStyle w:val="apple-converted-space"/>
          <w:rFonts w:ascii="Palatino Linotype" w:hAnsi="Palatino Linotype" w:cs="Calibri"/>
          <w:color w:val="000000"/>
        </w:rPr>
        <w:t> </w:t>
      </w:r>
    </w:p>
    <w:p w14:paraId="637BCF2C" w14:textId="77777777" w:rsidR="005B122D" w:rsidRDefault="005B122D" w:rsidP="005B122D">
      <w:pPr>
        <w:pStyle w:val="NormalWeb"/>
        <w:shd w:val="clear" w:color="auto" w:fill="FFFFFF"/>
        <w:spacing w:before="0" w:beforeAutospacing="0" w:after="0" w:afterAutospacing="0"/>
        <w:jc w:val="both"/>
        <w:rPr>
          <w:rFonts w:ascii="Calibri" w:hAnsi="Calibri" w:cs="Calibri"/>
          <w:color w:val="000000"/>
          <w:sz w:val="22"/>
          <w:szCs w:val="22"/>
        </w:rPr>
      </w:pPr>
      <w:r>
        <w:rPr>
          <w:rFonts w:ascii="Palatino Linotype" w:hAnsi="Palatino Linotype" w:cs="Calibri"/>
          <w:b/>
          <w:bCs/>
          <w:color w:val="000000"/>
          <w:sz w:val="28"/>
          <w:szCs w:val="28"/>
          <w:u w:val="single"/>
        </w:rPr>
        <w:t>COMUNICO, EXPRESSAMENTE,</w:t>
      </w:r>
      <w:r>
        <w:rPr>
          <w:rFonts w:ascii="Palatino Linotype" w:hAnsi="Palatino Linotype" w:cs="Calibri"/>
          <w:color w:val="000000"/>
          <w:sz w:val="28"/>
          <w:szCs w:val="28"/>
          <w:u w:val="single"/>
        </w:rPr>
        <w:t> </w:t>
      </w:r>
      <w:r>
        <w:rPr>
          <w:rFonts w:ascii="Palatino Linotype" w:hAnsi="Palatino Linotype" w:cs="Calibri"/>
          <w:b/>
          <w:bCs/>
          <w:color w:val="000000"/>
          <w:sz w:val="28"/>
          <w:szCs w:val="28"/>
          <w:u w:val="single"/>
        </w:rPr>
        <w:t>QUE</w:t>
      </w:r>
      <w:r>
        <w:rPr>
          <w:rFonts w:ascii="Palatino Linotype" w:hAnsi="Palatino Linotype" w:cs="Calibri"/>
          <w:color w:val="000000"/>
          <w:sz w:val="28"/>
          <w:szCs w:val="28"/>
          <w:u w:val="single"/>
        </w:rPr>
        <w:t> </w:t>
      </w:r>
      <w:r>
        <w:rPr>
          <w:rFonts w:ascii="Palatino Linotype" w:hAnsi="Palatino Linotype" w:cs="Calibri"/>
          <w:b/>
          <w:bCs/>
          <w:color w:val="000000"/>
          <w:sz w:val="28"/>
          <w:szCs w:val="28"/>
          <w:u w:val="single"/>
        </w:rPr>
        <w:t>NÃO AUTORIZO NENHUM PROCEDIMENTO DE SAÚDE</w:t>
      </w:r>
      <w:r>
        <w:rPr>
          <w:rFonts w:ascii="Palatino Linotype" w:hAnsi="Palatino Linotype" w:cs="Calibri"/>
          <w:color w:val="000000"/>
          <w:sz w:val="28"/>
          <w:szCs w:val="28"/>
          <w:u w:val="single"/>
        </w:rPr>
        <w:t> (vacinas ou quaisquer outros procedimentos sanitários relacionados à pandemia de Covid-19) no(a) referido(a) aluno(a), dentro ou fora do local escolar,</w:t>
      </w:r>
      <w:r>
        <w:rPr>
          <w:rStyle w:val="apple-converted-space"/>
          <w:rFonts w:ascii="Palatino Linotype" w:hAnsi="Palatino Linotype" w:cs="Calibri"/>
          <w:color w:val="000000"/>
          <w:sz w:val="28"/>
          <w:szCs w:val="28"/>
        </w:rPr>
        <w:t> </w:t>
      </w:r>
      <w:r>
        <w:rPr>
          <w:rFonts w:ascii="Palatino Linotype" w:hAnsi="Palatino Linotype" w:cs="Calibri"/>
          <w:b/>
          <w:bCs/>
          <w:color w:val="000000"/>
          <w:sz w:val="28"/>
          <w:szCs w:val="28"/>
          <w:u w:val="single"/>
        </w:rPr>
        <w:t>SEM O TOTAL CONSENTIMENTO DE SEUS RESPONSÁVEIS</w:t>
      </w:r>
      <w:r>
        <w:rPr>
          <w:rFonts w:ascii="Palatino Linotype" w:hAnsi="Palatino Linotype" w:cs="Calibri"/>
          <w:color w:val="000000"/>
          <w:sz w:val="28"/>
          <w:szCs w:val="28"/>
          <w:u w:val="single"/>
        </w:rPr>
        <w:t>, sob pena de medidas administrativas, cíveis e criminais em face do(s) responsável(</w:t>
      </w:r>
      <w:proofErr w:type="spellStart"/>
      <w:r>
        <w:rPr>
          <w:rFonts w:ascii="Palatino Linotype" w:hAnsi="Palatino Linotype" w:cs="Calibri"/>
          <w:color w:val="000000"/>
          <w:sz w:val="28"/>
          <w:szCs w:val="28"/>
          <w:u w:val="single"/>
        </w:rPr>
        <w:t>is</w:t>
      </w:r>
      <w:proofErr w:type="spellEnd"/>
      <w:r>
        <w:rPr>
          <w:rFonts w:ascii="Palatino Linotype" w:hAnsi="Palatino Linotype" w:cs="Calibri"/>
          <w:color w:val="000000"/>
          <w:sz w:val="28"/>
          <w:szCs w:val="28"/>
          <w:u w:val="single"/>
        </w:rPr>
        <w:t>).</w:t>
      </w:r>
    </w:p>
    <w:p w14:paraId="1FC7B0D0" w14:textId="257AB15A" w:rsidR="005B122D" w:rsidRDefault="005B122D" w:rsidP="005B122D">
      <w:pPr>
        <w:pStyle w:val="NormalWeb"/>
        <w:shd w:val="clear" w:color="auto" w:fill="FFFFFF"/>
        <w:spacing w:before="0" w:beforeAutospacing="0" w:after="0" w:afterAutospacing="0"/>
        <w:jc w:val="center"/>
        <w:rPr>
          <w:rFonts w:ascii="Calibri" w:hAnsi="Calibri" w:cs="Calibri"/>
          <w:color w:val="000000"/>
          <w:sz w:val="22"/>
          <w:szCs w:val="22"/>
        </w:rPr>
      </w:pPr>
      <w:r>
        <w:rPr>
          <w:rFonts w:ascii="Palatino Linotype" w:hAnsi="Palatino Linotype" w:cs="Calibri"/>
          <w:color w:val="000000"/>
        </w:rPr>
        <w:t xml:space="preserve">Cidade/Estado, ____ de __________________ </w:t>
      </w:r>
      <w:proofErr w:type="spellStart"/>
      <w:r>
        <w:rPr>
          <w:rFonts w:ascii="Palatino Linotype" w:hAnsi="Palatino Linotype" w:cs="Calibri"/>
          <w:color w:val="000000"/>
        </w:rPr>
        <w:t>de</w:t>
      </w:r>
      <w:proofErr w:type="spellEnd"/>
      <w:r>
        <w:rPr>
          <w:rFonts w:ascii="Palatino Linotype" w:hAnsi="Palatino Linotype" w:cs="Calibri"/>
          <w:color w:val="000000"/>
        </w:rPr>
        <w:t xml:space="preserve"> 202</w:t>
      </w:r>
      <w:r>
        <w:rPr>
          <w:rFonts w:ascii="Palatino Linotype" w:hAnsi="Palatino Linotype" w:cs="Calibri"/>
          <w:color w:val="000000"/>
        </w:rPr>
        <w:t>3</w:t>
      </w:r>
      <w:r>
        <w:rPr>
          <w:rFonts w:ascii="Palatino Linotype" w:hAnsi="Palatino Linotype" w:cs="Calibri"/>
          <w:color w:val="000000"/>
        </w:rPr>
        <w:t>.</w:t>
      </w:r>
    </w:p>
    <w:p w14:paraId="4AD6EFA2" w14:textId="77777777" w:rsidR="005B122D" w:rsidRDefault="005B122D" w:rsidP="005B122D">
      <w:pPr>
        <w:pStyle w:val="NormalWeb"/>
        <w:shd w:val="clear" w:color="auto" w:fill="FFFFFF"/>
        <w:spacing w:before="0" w:beforeAutospacing="0" w:after="0" w:afterAutospacing="0"/>
        <w:jc w:val="center"/>
        <w:rPr>
          <w:rFonts w:ascii="Calibri" w:hAnsi="Calibri" w:cs="Calibri"/>
          <w:color w:val="000000"/>
          <w:sz w:val="22"/>
          <w:szCs w:val="22"/>
        </w:rPr>
      </w:pPr>
      <w:r>
        <w:rPr>
          <w:rFonts w:ascii="Palatino Linotype" w:hAnsi="Palatino Linotype" w:cs="Calibri"/>
          <w:color w:val="000000"/>
        </w:rPr>
        <w:t>___________________________________________</w:t>
      </w:r>
    </w:p>
    <w:p w14:paraId="32B3EC0D" w14:textId="77777777" w:rsidR="005B122D" w:rsidRDefault="005B122D" w:rsidP="005B122D">
      <w:pPr>
        <w:pStyle w:val="NormalWeb"/>
        <w:shd w:val="clear" w:color="auto" w:fill="FFFFFF"/>
        <w:spacing w:before="0" w:beforeAutospacing="0" w:after="0" w:afterAutospacing="0"/>
        <w:jc w:val="center"/>
        <w:rPr>
          <w:rFonts w:ascii="Calibri" w:hAnsi="Calibri" w:cs="Calibri"/>
          <w:color w:val="000000"/>
          <w:sz w:val="22"/>
          <w:szCs w:val="22"/>
        </w:rPr>
      </w:pPr>
      <w:r>
        <w:rPr>
          <w:rFonts w:ascii="Palatino Linotype" w:hAnsi="Palatino Linotype" w:cs="Calibri"/>
          <w:color w:val="000000"/>
        </w:rPr>
        <w:t>Pai ou responsável</w:t>
      </w:r>
    </w:p>
    <w:p w14:paraId="3B736C2A" w14:textId="77777777" w:rsidR="005B122D" w:rsidRDefault="005B122D" w:rsidP="005B122D">
      <w:pPr>
        <w:pStyle w:val="NormalWeb"/>
        <w:shd w:val="clear" w:color="auto" w:fill="FFFFFF"/>
        <w:spacing w:before="0" w:beforeAutospacing="0" w:after="0" w:afterAutospacing="0"/>
        <w:jc w:val="center"/>
        <w:rPr>
          <w:rFonts w:ascii="Calibri" w:hAnsi="Calibri" w:cs="Calibri"/>
          <w:color w:val="000000"/>
          <w:sz w:val="22"/>
          <w:szCs w:val="22"/>
        </w:rPr>
      </w:pPr>
      <w:r>
        <w:rPr>
          <w:rFonts w:ascii="Palatino Linotype" w:hAnsi="Palatino Linotype" w:cs="Calibri"/>
          <w:color w:val="000000"/>
        </w:rPr>
        <w:t>Nome/RG/CPF</w:t>
      </w:r>
    </w:p>
    <w:p w14:paraId="5DF1EE7B" w14:textId="77777777" w:rsidR="00346AF1" w:rsidRDefault="00346AF1"/>
    <w:sectPr w:rsidR="00346A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2D"/>
    <w:rsid w:val="00346AF1"/>
    <w:rsid w:val="005B1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1B1A249"/>
  <w15:chartTrackingRefBased/>
  <w15:docId w15:val="{DF911C49-7D73-8E41-A336-028741D8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B122D"/>
    <w:pPr>
      <w:spacing w:before="100" w:beforeAutospacing="1" w:after="100" w:afterAutospacing="1"/>
    </w:pPr>
    <w:rPr>
      <w:rFonts w:ascii="Times New Roman" w:eastAsia="Times New Roman" w:hAnsi="Times New Roman" w:cs="Times New Roman"/>
      <w:kern w:val="0"/>
      <w:lang w:eastAsia="pt-BR"/>
      <w14:ligatures w14:val="none"/>
    </w:rPr>
  </w:style>
  <w:style w:type="character" w:customStyle="1" w:styleId="apple-converted-space">
    <w:name w:val="apple-converted-space"/>
    <w:basedOn w:val="Fontepargpadro"/>
    <w:rsid w:val="005B122D"/>
  </w:style>
  <w:style w:type="character" w:styleId="Hyperlink">
    <w:name w:val="Hyperlink"/>
    <w:basedOn w:val="Fontepargpadro"/>
    <w:uiPriority w:val="99"/>
    <w:semiHidden/>
    <w:unhideWhenUsed/>
    <w:rsid w:val="005B12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6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www.accessdata.fda.gov/scripts/cder/ob/results_product.cfm?Appl_Type%253DN%2526Appl_No%253D013025%252319261%26amp;sa%3DD%26amp;source%3Deditors%26amp;ust%3D1696123446451570%26amp;usg%3DAOvVaw0SXvOTe7hyDuGzSoDF3XOt&amp;sa=D&amp;source=docs&amp;ust=1696123446466253&amp;usg=AOvVaw2l6iBR6gUnIcmquKw2zStW" TargetMode="External"/><Relationship Id="rId3" Type="http://schemas.openxmlformats.org/officeDocument/2006/relationships/webSettings" Target="webSettings.xml"/><Relationship Id="rId7" Type="http://schemas.openxmlformats.org/officeDocument/2006/relationships/hyperlink" Target="https://www.google.com/url?q=https://www.google.com/url?q%3Dhttps://clinicaltrials.gov/%26amp;sa%3DD%26amp;source%3Deditors%26amp;ust%3D1696123446450412%26amp;usg%3DAOvVaw3kmTQM9okPVoF1YJy0116O&amp;sa=D&amp;source=docs&amp;ust=1696123446465714&amp;usg=AOvVaw2bwNLdi_Ss1IPwhL779pY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www.google.com/url?q%3Dhttps://www.gov.br/anvisa/pt-br/assuntos/noticias-anvisa/2021/copy_of_PPAM511anosPfizer2.pdf%26amp;sa%3DD%26amp;source%3Deditors%26amp;ust%3D1696123446449394%26amp;usg%3DAOvVaw2esZyUNju4bxk-Dk0dPgTX&amp;sa=D&amp;source=docs&amp;ust=1696123446465218&amp;usg=AOvVaw30I6hm7YiV1QwxoZFrHQmD" TargetMode="External"/><Relationship Id="rId5" Type="http://schemas.openxmlformats.org/officeDocument/2006/relationships/hyperlink" Target="https://www.google.com/url?q=https://www.google.com/url?q%3Dhttps://clinicaltrials.gov/ct2/show/NCT04816643%26amp;sa%3DD%26amp;source%3Deditors%26amp;ust%3D1696123446449148%26amp;usg%3DAOvVaw2hH-zbYaaV3PgEHPVyJD85&amp;sa=D&amp;source=docs&amp;ust=1696123446464972&amp;usg=AOvVaw0nsd35NXht0Tw0kFwz70Bo" TargetMode="External"/><Relationship Id="rId10" Type="http://schemas.openxmlformats.org/officeDocument/2006/relationships/theme" Target="theme/theme1.xml"/><Relationship Id="rId4" Type="http://schemas.openxmlformats.org/officeDocument/2006/relationships/hyperlink" Target="https://www.google.com/url?q=https://www.google.com/url?q%3Dhttps://www.gov.br/saude/pt-br/assuntos/noticias/2022/janeiro/ministerio-da-saude-inicia-distribuicao-de-vacinas-covid-19-pediatricas-nesta-quinta-13%26amp;sa%3DD%26amp;source%3Deditors%26amp;ust%3D1696123446448740%26amp;usg%3DAOvVaw2AJ9rn6-7MCL37UteTfsgt&amp;sa=D&amp;source=docs&amp;ust=1696123446464550&amp;usg=AOvVaw2Wyp_hMzfuGV3CHcdQ2vy6"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2241</Words>
  <Characters>12103</Characters>
  <Application>Microsoft Office Word</Application>
  <DocSecurity>0</DocSecurity>
  <Lines>100</Lines>
  <Paragraphs>28</Paragraphs>
  <ScaleCrop>false</ScaleCrop>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Jadson c rodrigues C Rodrigues</dc:creator>
  <cp:keywords/>
  <dc:description/>
  <cp:lastModifiedBy>Jadson c rodrigues C Rodrigues</cp:lastModifiedBy>
  <cp:revision>1</cp:revision>
  <dcterms:created xsi:type="dcterms:W3CDTF">2023-10-01T00:25:00Z</dcterms:created>
  <dcterms:modified xsi:type="dcterms:W3CDTF">2023-10-01T00:26:00Z</dcterms:modified>
</cp:coreProperties>
</file>